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563" w:rsidRDefault="00486563" w:rsidP="00B47A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Jednoczesna analiza lica głównych wież w Świeciu i Grudziądzu może wyjaśnić wykonanie dodatkowego płaszcza lica w Świeciu oraz dlaczego w Grudziądzu nie było gzymsów konstrukcyjnych do zamontowania fryzu kolumienkowego po stronie wschodniej.</w:t>
      </w:r>
      <w:r w:rsidR="003B66B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86563" w:rsidRDefault="00486563" w:rsidP="00B47A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5E11" w:rsidRPr="00B47A0A" w:rsidRDefault="00B47A0A" w:rsidP="00B47A0A">
      <w:pPr>
        <w:jc w:val="both"/>
        <w:rPr>
          <w:rFonts w:ascii="Times New Roman" w:hAnsi="Times New Roman" w:cs="Times New Roman"/>
          <w:sz w:val="24"/>
          <w:szCs w:val="24"/>
        </w:rPr>
      </w:pPr>
      <w:r w:rsidRPr="00B47A0A">
        <w:rPr>
          <w:rFonts w:ascii="Times New Roman" w:hAnsi="Times New Roman" w:cs="Times New Roman"/>
          <w:sz w:val="24"/>
          <w:szCs w:val="24"/>
        </w:rPr>
        <w:t xml:space="preserve">Mur z XIII w. Przedzamcze </w:t>
      </w:r>
      <w:r w:rsidR="00872286">
        <w:rPr>
          <w:rFonts w:ascii="Times New Roman" w:hAnsi="Times New Roman" w:cs="Times New Roman"/>
          <w:sz w:val="24"/>
          <w:szCs w:val="24"/>
        </w:rPr>
        <w:t>południowe, przed Bramą Kamienną</w:t>
      </w:r>
      <w:r w:rsidRPr="00B47A0A">
        <w:rPr>
          <w:rFonts w:ascii="Times New Roman" w:hAnsi="Times New Roman" w:cs="Times New Roman"/>
          <w:sz w:val="24"/>
          <w:szCs w:val="24"/>
        </w:rPr>
        <w:t xml:space="preserve"> do Zamku Wysokiego, wg nazewnictwa z  czasów nowożytnych.</w:t>
      </w:r>
    </w:p>
    <w:p w:rsidR="00B47A0A" w:rsidRPr="00B47A0A" w:rsidRDefault="00B47A0A" w:rsidP="00B47A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7A0A" w:rsidRPr="00B47A0A" w:rsidRDefault="00B47A0A" w:rsidP="00486563">
      <w:pPr>
        <w:jc w:val="center"/>
        <w:rPr>
          <w:rFonts w:ascii="Times New Roman" w:hAnsi="Times New Roman" w:cs="Times New Roman"/>
          <w:sz w:val="24"/>
          <w:szCs w:val="24"/>
        </w:rPr>
      </w:pPr>
      <w:r w:rsidRPr="00B47A0A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3989679" cy="2992260"/>
            <wp:effectExtent l="19050" t="0" r="0" b="0"/>
            <wp:docPr id="1" name="Obraz 0" descr="DSCF1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176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0968" cy="299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A0A" w:rsidRPr="00B47A0A" w:rsidRDefault="00B47A0A" w:rsidP="00486563">
      <w:pPr>
        <w:jc w:val="center"/>
        <w:rPr>
          <w:rFonts w:ascii="Times New Roman" w:hAnsi="Times New Roman" w:cs="Times New Roman"/>
          <w:sz w:val="24"/>
          <w:szCs w:val="24"/>
        </w:rPr>
      </w:pPr>
      <w:r w:rsidRPr="00B47A0A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463394" cy="3284525"/>
            <wp:effectExtent l="19050" t="0" r="0" b="0"/>
            <wp:docPr id="3" name="Obraz 2" descr="DSCF17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176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4028" cy="3285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A0A" w:rsidRPr="00B47A0A" w:rsidRDefault="00B47A0A" w:rsidP="00B47A0A">
      <w:pPr>
        <w:jc w:val="both"/>
        <w:rPr>
          <w:rFonts w:ascii="Times New Roman" w:hAnsi="Times New Roman" w:cs="Times New Roman"/>
          <w:sz w:val="24"/>
          <w:szCs w:val="24"/>
        </w:rPr>
      </w:pPr>
      <w:r w:rsidRPr="00B47A0A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drawing>
          <wp:inline distT="0" distB="0" distL="0" distR="0">
            <wp:extent cx="5760720" cy="4320540"/>
            <wp:effectExtent l="19050" t="0" r="0" b="0"/>
            <wp:docPr id="4" name="Obraz 3" descr="DSCF17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F176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A0A" w:rsidRPr="00B47A0A" w:rsidRDefault="00B47A0A" w:rsidP="00B47A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47A0A" w:rsidRDefault="00B47A0A" w:rsidP="00B47A0A">
      <w:pPr>
        <w:jc w:val="both"/>
        <w:rPr>
          <w:rFonts w:ascii="Times New Roman" w:hAnsi="Times New Roman" w:cs="Times New Roman"/>
          <w:sz w:val="24"/>
          <w:szCs w:val="24"/>
        </w:rPr>
      </w:pPr>
      <w:r w:rsidRPr="00B47A0A">
        <w:rPr>
          <w:rFonts w:ascii="Times New Roman" w:hAnsi="Times New Roman" w:cs="Times New Roman"/>
          <w:sz w:val="24"/>
          <w:szCs w:val="24"/>
        </w:rPr>
        <w:t xml:space="preserve">Mur ma ok. 2 m grubości i wykonany jest z pełnej cegły. Wątek gotyk polski nie był zastosowany do oblicowania muru typu </w:t>
      </w:r>
      <w:r w:rsidRPr="00486563">
        <w:rPr>
          <w:rFonts w:ascii="Times New Roman" w:hAnsi="Times New Roman" w:cs="Times New Roman"/>
          <w:b/>
          <w:i/>
          <w:sz w:val="24"/>
          <w:szCs w:val="24"/>
        </w:rPr>
        <w:t xml:space="preserve">opus </w:t>
      </w:r>
      <w:proofErr w:type="spellStart"/>
      <w:r w:rsidRPr="00486563">
        <w:rPr>
          <w:rFonts w:ascii="Times New Roman" w:hAnsi="Times New Roman" w:cs="Times New Roman"/>
          <w:b/>
          <w:i/>
          <w:sz w:val="24"/>
          <w:szCs w:val="24"/>
        </w:rPr>
        <w:t>emplectum</w:t>
      </w:r>
      <w:proofErr w:type="spellEnd"/>
      <w:r w:rsidRPr="00B47A0A">
        <w:rPr>
          <w:rFonts w:ascii="Times New Roman" w:hAnsi="Times New Roman" w:cs="Times New Roman"/>
          <w:sz w:val="24"/>
          <w:szCs w:val="24"/>
        </w:rPr>
        <w:t>.</w:t>
      </w:r>
    </w:p>
    <w:p w:rsidR="00486563" w:rsidRPr="00B47A0A" w:rsidRDefault="00486563" w:rsidP="00B47A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Widoczne zniszczenie lica tez może być efektem działań wojennych w 1945 r. , podobnie jak w Świeciu.</w:t>
      </w:r>
    </w:p>
    <w:p w:rsidR="00B47A0A" w:rsidRDefault="00B47A0A" w:rsidP="00B47A0A">
      <w:pPr>
        <w:jc w:val="both"/>
        <w:rPr>
          <w:rFonts w:ascii="Times New Roman" w:hAnsi="Times New Roman" w:cs="Times New Roman"/>
          <w:sz w:val="24"/>
          <w:szCs w:val="24"/>
        </w:rPr>
      </w:pPr>
      <w:r w:rsidRPr="00B47A0A">
        <w:rPr>
          <w:rFonts w:ascii="Times New Roman" w:hAnsi="Times New Roman" w:cs="Times New Roman"/>
          <w:sz w:val="24"/>
          <w:szCs w:val="24"/>
        </w:rPr>
        <w:t>Kolejny dowód na to, że wiązanie polskie zaczęto stosować</w:t>
      </w:r>
      <w:r w:rsidR="0042170A">
        <w:rPr>
          <w:rFonts w:ascii="Times New Roman" w:hAnsi="Times New Roman" w:cs="Times New Roman"/>
          <w:sz w:val="24"/>
          <w:szCs w:val="24"/>
        </w:rPr>
        <w:t xml:space="preserve"> przed wiekiem XIV i kościół św. Jakuba w Toruniu nie jest pierwszym obiektem , z początku XIV w., w który m zastosowano to wiązanie.</w:t>
      </w:r>
    </w:p>
    <w:p w:rsidR="0042170A" w:rsidRDefault="0042170A" w:rsidP="00B47A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Mur w Grudziądzu zdaje się potwierdzać, że wieża w Świeciu otrzymała wtórne lico. Pierwotne było podobne, ja w tej rozebranej wieży. Wieża Klimek w Grudziądzu również miała m.in. lico główkowe, tak na zewnątrz, jak i w środku.</w:t>
      </w:r>
    </w:p>
    <w:p w:rsidR="0042170A" w:rsidRDefault="0042170A" w:rsidP="00B47A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Wtórne lico wieży w Świeciu może też się wiązać z podparciem jej przechyłu. W Grudziądzu wieża Klimek przechylała się już na etapie budowy kamiennego fundamentu. Po stronie południowej była większa masa, aniżeli po stronie północnej. Odkryta w 2014 roku różnica w poziomie</w:t>
      </w:r>
      <w:r w:rsidR="00872286">
        <w:rPr>
          <w:rFonts w:ascii="Times New Roman" w:hAnsi="Times New Roman" w:cs="Times New Roman"/>
          <w:sz w:val="24"/>
          <w:szCs w:val="24"/>
        </w:rPr>
        <w:t xml:space="preserve"> zalegania fundamentu wynosi ok. 1 m. Część północna jest płytsza. </w:t>
      </w:r>
    </w:p>
    <w:p w:rsidR="00872286" w:rsidRDefault="00872286" w:rsidP="00B47A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Część zachodnia wieży Klimek była konstrukcyjnie przygotowana do zamontowania fryzu kolumienkowego. Na zdjęciach z okresu międzywojennego widać, że tam, gdzie były pasy </w:t>
      </w:r>
      <w:r>
        <w:rPr>
          <w:rFonts w:ascii="Times New Roman" w:hAnsi="Times New Roman" w:cs="Times New Roman"/>
          <w:sz w:val="24"/>
          <w:szCs w:val="24"/>
        </w:rPr>
        <w:lastRenderedPageBreak/>
        <w:t>glazurowanej cegły, były trzpienie po rozbiórce pierścieni. Fragment pierścienia był tylko nad oknem, wtórnie wejściem od strony zachodniej.</w:t>
      </w:r>
    </w:p>
    <w:p w:rsidR="00872286" w:rsidRDefault="00872286" w:rsidP="00B47A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Jeśli wnioskowanie jest właściwe, w przypadku wieży w Świeciu dodano dodatkowe lico a w Grudziądzu kolumny.</w:t>
      </w:r>
    </w:p>
    <w:p w:rsidR="00031792" w:rsidRDefault="00031792" w:rsidP="00B47A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2006 roku, gdy pisałem artykuł o </w:t>
      </w:r>
      <w:proofErr w:type="spellStart"/>
      <w:r>
        <w:rPr>
          <w:rFonts w:ascii="Times New Roman" w:hAnsi="Times New Roman" w:cs="Times New Roman"/>
          <w:sz w:val="24"/>
          <w:szCs w:val="24"/>
        </w:rPr>
        <w:t>gdaniskach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 Rocznika Grudziądzkiego, nie przypuszczałem, że zagadnienie dylatacji fundamentów znajdzie zastosowanie w przypadku wieży Klimek. Wieża ta przez ok. 700 -750  lat swojego istnienia zachowała się podręcznikowo, przechylając się od pionu po stronie, gdzie była większa masa. Budowla osiadała niesymetrycznie.</w:t>
      </w:r>
    </w:p>
    <w:p w:rsidR="001869C5" w:rsidRDefault="001869C5" w:rsidP="00B47A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2014 r. okazało się, że fundament wieży Klimek jest zgodny z przekrojem </w:t>
      </w:r>
      <w:r w:rsidRPr="001869C5">
        <w:rPr>
          <w:rFonts w:ascii="Times New Roman" w:hAnsi="Times New Roman" w:cs="Times New Roman"/>
          <w:b/>
          <w:i/>
          <w:sz w:val="24"/>
          <w:szCs w:val="24"/>
        </w:rPr>
        <w:t xml:space="preserve">d </w:t>
      </w:r>
      <w:r>
        <w:rPr>
          <w:rFonts w:ascii="Times New Roman" w:hAnsi="Times New Roman" w:cs="Times New Roman"/>
          <w:sz w:val="24"/>
          <w:szCs w:val="24"/>
        </w:rPr>
        <w:t>na rysunku W. Żenczykowskiego.</w:t>
      </w:r>
    </w:p>
    <w:p w:rsidR="00031792" w:rsidRDefault="00031792" w:rsidP="00B47A0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budowy studni o głębokości ok. 50 m było symetryczne, kontrolowane osiadanie kamiennej cembrowiny.</w:t>
      </w:r>
    </w:p>
    <w:p w:rsidR="00031792" w:rsidRDefault="00031792" w:rsidP="00B47A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1792" w:rsidRPr="00031792" w:rsidRDefault="00031792" w:rsidP="00031792">
      <w:pPr>
        <w:pStyle w:val="Tekstpodstawowywcity"/>
        <w:rPr>
          <w:i/>
        </w:rPr>
      </w:pPr>
      <w:r w:rsidRPr="00031792">
        <w:rPr>
          <w:i/>
        </w:rPr>
        <w:t>Odrębnym zagadnieniem, nie związanym bezpośrednio z tematem artykułu, jest geneza obecnego ukształtowanie terenu na linii spichrzy. Obecne ukształtowanie terenu przeczy możliwości istnienia tam wcześniej bram i furt miejskich, aczkolwiek są one oznaczone na historycznych planach miasta z XVII i XVIII w. Na obecne ukształtowanie terenu miał wpływ proces wypierania gruntu przez posadowione budowle od XIII w. aż do czasów nam współczesnych (ryc.5)</w:t>
      </w:r>
      <w:r w:rsidRPr="00031792">
        <w:rPr>
          <w:rStyle w:val="Odwoanieprzypisudolnego"/>
          <w:i/>
        </w:rPr>
        <w:footnoteReference w:id="1"/>
      </w:r>
      <w:r w:rsidRPr="00031792">
        <w:rPr>
          <w:i/>
        </w:rPr>
        <w:t>. Jednym z najlepszych przykładów na występowanie tego zjawiska w Grudziądzu jest kamienica przy ul. Murowej 28, zbudowana na przełomie XIX/XX w., gdzie jako fundament wykorzystano mur obronny z blankami i przyporami, obecnie poniżej poziomu ulicy.</w:t>
      </w:r>
    </w:p>
    <w:p w:rsidR="00031792" w:rsidRPr="00031792" w:rsidRDefault="00031792" w:rsidP="00031792">
      <w:pPr>
        <w:pStyle w:val="Tekstpodstawowywcity"/>
        <w:rPr>
          <w:i/>
        </w:rPr>
      </w:pPr>
    </w:p>
    <w:p w:rsidR="00031792" w:rsidRPr="00031792" w:rsidRDefault="00031792" w:rsidP="00031792">
      <w:pPr>
        <w:pStyle w:val="Tekstpodstawowywcity"/>
        <w:jc w:val="center"/>
        <w:rPr>
          <w:i/>
        </w:rPr>
      </w:pPr>
      <w:r w:rsidRPr="00031792">
        <w:rPr>
          <w:i/>
          <w:noProof/>
        </w:rPr>
        <w:drawing>
          <wp:inline distT="0" distB="0" distL="0" distR="0">
            <wp:extent cx="4777105" cy="2794635"/>
            <wp:effectExtent l="19050" t="0" r="4445" b="0"/>
            <wp:docPr id="2" name="Obraz 1" descr="..\Osiadanie budynków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\Osiadanie budynków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7105" cy="279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1792" w:rsidRPr="00031792" w:rsidRDefault="00031792" w:rsidP="00031792">
      <w:pPr>
        <w:pStyle w:val="Tekstpodstawowywcity"/>
        <w:rPr>
          <w:i/>
        </w:rPr>
      </w:pPr>
    </w:p>
    <w:p w:rsidR="00031792" w:rsidRPr="00031792" w:rsidRDefault="00031792" w:rsidP="00031792">
      <w:pPr>
        <w:pStyle w:val="Tekstpodstawowywcity"/>
        <w:rPr>
          <w:i/>
          <w:color w:val="000000"/>
        </w:rPr>
      </w:pPr>
      <w:r w:rsidRPr="00031792">
        <w:rPr>
          <w:i/>
          <w:color w:val="000000"/>
        </w:rPr>
        <w:lastRenderedPageBreak/>
        <w:t xml:space="preserve">Ryc. 5. </w:t>
      </w:r>
      <w:r w:rsidRPr="00031792">
        <w:rPr>
          <w:i/>
          <w:iCs w:val="0"/>
          <w:color w:val="000000"/>
        </w:rPr>
        <w:t>Proces wypierania gruntu przez fundamenty budowli wg W. Żenczykowskiego.</w:t>
      </w:r>
    </w:p>
    <w:p w:rsidR="00031792" w:rsidRPr="00031792" w:rsidRDefault="00031792" w:rsidP="00031792">
      <w:pPr>
        <w:pStyle w:val="Tekstpodstawowywcity"/>
        <w:rPr>
          <w:i/>
          <w:color w:val="000000"/>
        </w:rPr>
      </w:pPr>
    </w:p>
    <w:p w:rsidR="00031792" w:rsidRPr="00031792" w:rsidRDefault="00031792" w:rsidP="00031792">
      <w:pPr>
        <w:pStyle w:val="Tekstpodstawowywcity"/>
        <w:rPr>
          <w:i/>
          <w:color w:val="000000"/>
        </w:rPr>
      </w:pPr>
      <w:r w:rsidRPr="00031792">
        <w:rPr>
          <w:i/>
          <w:color w:val="000000"/>
        </w:rPr>
        <w:t xml:space="preserve">Warto zwrócić uwagę na rysunek </w:t>
      </w:r>
      <w:r w:rsidRPr="00031792">
        <w:rPr>
          <w:i/>
          <w:iCs w:val="0"/>
          <w:color w:val="000000"/>
        </w:rPr>
        <w:t>b</w:t>
      </w:r>
      <w:r w:rsidRPr="00031792">
        <w:rPr>
          <w:i/>
          <w:color w:val="000000"/>
        </w:rPr>
        <w:t>, wskazujący, że budynek może się w następstwie procesu wypierania gruntu przez fundamenty znaleźć nawet poniżej poziomu gruntu. Widoczne na rysunkach ukształtowanie terenu możemy zaobserwować na linii spichrzy.               W przypadku Grudziądza tez występują różnice poziomów.</w:t>
      </w:r>
    </w:p>
    <w:p w:rsidR="00031792" w:rsidRDefault="00031792" w:rsidP="00B47A0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2286" w:rsidRPr="00B47A0A" w:rsidRDefault="00872286" w:rsidP="00B47A0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72286" w:rsidRPr="00B47A0A" w:rsidSect="00035E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2FC7" w:rsidRDefault="00E72FC7" w:rsidP="00031792">
      <w:pPr>
        <w:spacing w:after="0" w:line="240" w:lineRule="auto"/>
      </w:pPr>
      <w:r>
        <w:separator/>
      </w:r>
    </w:p>
  </w:endnote>
  <w:endnote w:type="continuationSeparator" w:id="0">
    <w:p w:rsidR="00E72FC7" w:rsidRDefault="00E72FC7" w:rsidP="00031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2FC7" w:rsidRDefault="00E72FC7" w:rsidP="00031792">
      <w:pPr>
        <w:spacing w:after="0" w:line="240" w:lineRule="auto"/>
      </w:pPr>
      <w:r>
        <w:separator/>
      </w:r>
    </w:p>
  </w:footnote>
  <w:footnote w:type="continuationSeparator" w:id="0">
    <w:p w:rsidR="00E72FC7" w:rsidRDefault="00E72FC7" w:rsidP="00031792">
      <w:pPr>
        <w:spacing w:after="0" w:line="240" w:lineRule="auto"/>
      </w:pPr>
      <w:r>
        <w:continuationSeparator/>
      </w:r>
    </w:p>
  </w:footnote>
  <w:footnote w:id="1">
    <w:p w:rsidR="00031792" w:rsidRDefault="00031792" w:rsidP="00031792">
      <w:pPr>
        <w:pStyle w:val="Tekstprzypisudolnego"/>
        <w:jc w:val="both"/>
        <w:rPr>
          <w:b w:val="0"/>
          <w:bCs w:val="0"/>
          <w:i w:val="0"/>
          <w:iCs/>
        </w:rPr>
      </w:pPr>
      <w:r>
        <w:rPr>
          <w:rStyle w:val="Odwoanieprzypisudolnego"/>
          <w:b w:val="0"/>
          <w:bCs w:val="0"/>
          <w:i w:val="0"/>
          <w:iCs/>
        </w:rPr>
        <w:footnoteRef/>
      </w:r>
      <w:r>
        <w:rPr>
          <w:b w:val="0"/>
          <w:bCs w:val="0"/>
          <w:i w:val="0"/>
          <w:iCs/>
        </w:rPr>
        <w:t xml:space="preserve"> Zob. W. Żenczykowski, </w:t>
      </w:r>
      <w:r>
        <w:rPr>
          <w:b w:val="0"/>
          <w:bCs w:val="0"/>
        </w:rPr>
        <w:t>Budownictwo ogólne. Elementy i konstrukcje budowlane</w:t>
      </w:r>
      <w:r>
        <w:rPr>
          <w:b w:val="0"/>
          <w:bCs w:val="0"/>
          <w:i w:val="0"/>
          <w:iCs/>
        </w:rPr>
        <w:t xml:space="preserve">, t.8, Warszawa 1990, wyd. 8, s. 43. Wypieraniu gruntu przez budowle mogło się dawniej wahać od 20-30 cm do paru metrów. 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7A0A"/>
    <w:rsid w:val="00031792"/>
    <w:rsid w:val="00035E11"/>
    <w:rsid w:val="001869C5"/>
    <w:rsid w:val="003B66BB"/>
    <w:rsid w:val="0042170A"/>
    <w:rsid w:val="00486563"/>
    <w:rsid w:val="004A3BB9"/>
    <w:rsid w:val="00872286"/>
    <w:rsid w:val="00A46CD9"/>
    <w:rsid w:val="00B47A0A"/>
    <w:rsid w:val="00C17EBC"/>
    <w:rsid w:val="00D80848"/>
    <w:rsid w:val="00E72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5E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47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7A0A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rsid w:val="0003179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iCs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031792"/>
    <w:rPr>
      <w:rFonts w:ascii="Times New Roman" w:eastAsia="Times New Roman" w:hAnsi="Times New Roman" w:cs="Times New Roman"/>
      <w:i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031792"/>
    <w:pPr>
      <w:spacing w:after="0" w:line="240" w:lineRule="auto"/>
    </w:pPr>
    <w:rPr>
      <w:rFonts w:ascii="Times New Roman" w:eastAsia="Times New Roman" w:hAnsi="Times New Roman" w:cs="Times New Roman"/>
      <w:b/>
      <w:bCs/>
      <w:i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31792"/>
    <w:rPr>
      <w:rFonts w:ascii="Times New Roman" w:eastAsia="Times New Roman" w:hAnsi="Times New Roman" w:cs="Times New Roman"/>
      <w:b/>
      <w:bCs/>
      <w:i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03179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E4BF2E-ADE1-4552-985B-EE8206643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493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dc:description/>
  <cp:lastModifiedBy>Iwona</cp:lastModifiedBy>
  <cp:revision>6</cp:revision>
  <dcterms:created xsi:type="dcterms:W3CDTF">2026-08-14T11:01:00Z</dcterms:created>
  <dcterms:modified xsi:type="dcterms:W3CDTF">2026-08-14T18:59:00Z</dcterms:modified>
</cp:coreProperties>
</file>